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BD36" w14:textId="77777777" w:rsidR="000E48DB" w:rsidRPr="000E48DB" w:rsidRDefault="000E48DB" w:rsidP="000E48D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aps/>
          <w:color w:val="20558D"/>
          <w:kern w:val="36"/>
          <w:sz w:val="48"/>
          <w:szCs w:val="48"/>
          <w:lang w:eastAsia="cs-CZ"/>
        </w:rPr>
      </w:pPr>
      <w:r w:rsidRPr="000E48DB">
        <w:rPr>
          <w:rFonts w:ascii="Arial" w:eastAsia="Times New Roman" w:hAnsi="Arial" w:cs="Arial"/>
          <w:caps/>
          <w:color w:val="20558D"/>
          <w:kern w:val="36"/>
          <w:sz w:val="48"/>
          <w:szCs w:val="48"/>
          <w:lang w:eastAsia="cs-CZ"/>
        </w:rPr>
        <w:t>KOTLÍKOVÉ DOTACE OP ŽP - PROGRAM VÝMĚNY ZDROJŮ TEPLA V DOMÁCNOSTECH ZLÍNSKÉHO KRAJE</w:t>
      </w:r>
    </w:p>
    <w:p w14:paraId="73C86687" w14:textId="77777777" w:rsidR="000E48DB" w:rsidRPr="000E48DB" w:rsidRDefault="000E48DB" w:rsidP="000E48DB">
      <w:pPr>
        <w:shd w:val="clear" w:color="auto" w:fill="FFFFFF"/>
        <w:spacing w:before="150" w:after="300" w:line="240" w:lineRule="auto"/>
        <w:jc w:val="both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i/>
          <w:iCs/>
          <w:color w:val="3B4047"/>
          <w:sz w:val="21"/>
          <w:szCs w:val="21"/>
          <w:lang w:eastAsia="cs-CZ"/>
        </w:rPr>
        <w:t>Zlínský kraj administruje Program výměny zdrojů tepla v domácnostech Zlínského kraje. Blížší informace najdete v sekcích níže, případně můžete položit dotaz na email: </w:t>
      </w:r>
      <w:hyperlink r:id="rId5" w:history="1">
        <w:r w:rsidRPr="000E48DB">
          <w:rPr>
            <w:rFonts w:ascii="Source Sans Pro" w:eastAsia="Times New Roman" w:hAnsi="Source Sans Pro" w:cs="Times New Roman"/>
            <w:b/>
            <w:bCs/>
            <w:i/>
            <w:iCs/>
            <w:color w:val="0000FF"/>
            <w:sz w:val="21"/>
            <w:szCs w:val="21"/>
            <w:u w:val="single"/>
            <w:lang w:eastAsia="cs-CZ"/>
          </w:rPr>
          <w:t>kotliky@kr-zlinsky.cz</w:t>
        </w:r>
      </w:hyperlink>
      <w:r w:rsidRPr="000E48DB">
        <w:rPr>
          <w:rFonts w:ascii="Source Sans Pro" w:eastAsia="Times New Roman" w:hAnsi="Source Sans Pro" w:cs="Times New Roman"/>
          <w:i/>
          <w:iCs/>
          <w:color w:val="3B4047"/>
          <w:sz w:val="21"/>
          <w:szCs w:val="21"/>
          <w:lang w:eastAsia="cs-CZ"/>
        </w:rPr>
        <w:t> nebo telefonicky: </w:t>
      </w:r>
      <w:r w:rsidRPr="000E48DB">
        <w:rPr>
          <w:rFonts w:ascii="Source Sans Pro" w:eastAsia="Times New Roman" w:hAnsi="Source Sans Pro" w:cs="Times New Roman"/>
          <w:b/>
          <w:bCs/>
          <w:i/>
          <w:iCs/>
          <w:color w:val="3B4047"/>
          <w:sz w:val="21"/>
          <w:szCs w:val="21"/>
          <w:lang w:eastAsia="cs-CZ"/>
        </w:rPr>
        <w:t>577 043 411 </w:t>
      </w:r>
      <w:r w:rsidRPr="000E48DB">
        <w:rPr>
          <w:rFonts w:ascii="Source Sans Pro" w:eastAsia="Times New Roman" w:hAnsi="Source Sans Pro" w:cs="Times New Roman"/>
          <w:i/>
          <w:iCs/>
          <w:color w:val="3B4047"/>
          <w:sz w:val="21"/>
          <w:szCs w:val="21"/>
          <w:lang w:eastAsia="cs-CZ"/>
        </w:rPr>
        <w:t>(provoz kotlíkové linky v úředních hodinách).</w:t>
      </w:r>
    </w:p>
    <w:p w14:paraId="6A1245CC" w14:textId="77777777" w:rsidR="000E48DB" w:rsidRPr="000E48DB" w:rsidRDefault="000E48DB" w:rsidP="000E48DB">
      <w:p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caps/>
          <w:color w:val="20558D"/>
          <w:kern w:val="36"/>
          <w:sz w:val="48"/>
          <w:szCs w:val="48"/>
          <w:lang w:eastAsia="cs-CZ"/>
        </w:rPr>
      </w:pPr>
      <w:r w:rsidRPr="000E48DB">
        <w:rPr>
          <w:rFonts w:ascii="Arial" w:eastAsia="Times New Roman" w:hAnsi="Arial" w:cs="Arial"/>
          <w:b/>
          <w:bCs/>
          <w:caps/>
          <w:color w:val="20558D"/>
          <w:kern w:val="36"/>
          <w:sz w:val="48"/>
          <w:szCs w:val="48"/>
          <w:lang w:eastAsia="cs-CZ"/>
        </w:rPr>
        <w:t>NOVÉ KOTLÍKOVÉ DOTACE 2021+</w:t>
      </w:r>
    </w:p>
    <w:p w14:paraId="5A0C8D95" w14:textId="77777777" w:rsidR="000E48DB" w:rsidRPr="000E48DB" w:rsidRDefault="000E48DB" w:rsidP="000E48DB">
      <w:pPr>
        <w:shd w:val="clear" w:color="auto" w:fill="FFFFFF"/>
        <w:spacing w:before="150" w:after="300" w:line="240" w:lineRule="auto"/>
        <w:jc w:val="both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POZOR: Od 1. 9. 2022 bude ze zákona platit zákaz vytápět starými kotli na uhlí a dřevo, které nesplňují alespoň 3. emisní třídu!</w:t>
      </w:r>
    </w:p>
    <w:p w14:paraId="0EA4BEA9" w14:textId="18DEF296" w:rsidR="000E48DB" w:rsidRDefault="000E48DB" w:rsidP="000E48DB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Od 11. 10. 2021 je spuštěn Dotazníkový průzkum zájmu o kotlíkové dotace ve Zlínském kraji pro rok 2022 (dotazníkový formulář neboli tzv. předžádost) pro nízkopříjmové skupiny žadatelů, první vlna sběru potrvá do 31. 12. 2021 - k vyplnění </w:t>
      </w:r>
      <w:r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 xml:space="preserve">na </w:t>
      </w:r>
      <w:hyperlink r:id="rId6" w:history="1">
        <w:r w:rsidRPr="00320092">
          <w:rPr>
            <w:rStyle w:val="Hypertextovodkaz"/>
            <w:rFonts w:ascii="Source Sans Pro" w:eastAsia="Times New Roman" w:hAnsi="Source Sans Pro" w:cs="Times New Roman"/>
            <w:b/>
            <w:bCs/>
            <w:sz w:val="21"/>
            <w:szCs w:val="21"/>
            <w:lang w:eastAsia="cs-CZ"/>
          </w:rPr>
          <w:t>www.kr-zlinsky.cz/kotliky</w:t>
        </w:r>
      </w:hyperlink>
      <w:r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.</w:t>
      </w:r>
    </w:p>
    <w:p w14:paraId="5B3EE265" w14:textId="5FF2EBBE" w:rsidR="000E48DB" w:rsidRPr="000E48DB" w:rsidRDefault="000E48DB" w:rsidP="000E48DB">
      <w:pPr>
        <w:shd w:val="clear" w:color="auto" w:fill="FFFFFF"/>
        <w:spacing w:before="150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b/>
          <w:bCs/>
          <w:noProof/>
          <w:color w:val="20558D"/>
          <w:sz w:val="21"/>
          <w:szCs w:val="21"/>
          <w:lang w:eastAsia="cs-CZ"/>
        </w:rPr>
        <w:drawing>
          <wp:inline distT="0" distB="0" distL="0" distR="0" wp14:anchorId="0A5BFBC0" wp14:editId="52E96C77">
            <wp:extent cx="5760720" cy="2330450"/>
            <wp:effectExtent l="0" t="0" r="0" b="0"/>
            <wp:docPr id="1" name="Obrázek 1">
              <a:hlinkClick xmlns:a="http://schemas.openxmlformats.org/drawingml/2006/main" r:id="rId7" tgtFrame="&quot;_blank&quot;" tooltip="&quot;Dotazník zájmu, neboli předžád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 tgtFrame="&quot;_blank&quot;" tooltip="&quot;Dotazník zájmu, neboli předžád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E48DB" w:rsidRPr="000E48DB" w14:paraId="4A26DA00" w14:textId="77777777" w:rsidTr="000E48D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0115D" w14:textId="77777777" w:rsidR="000E48DB" w:rsidRPr="000E48DB" w:rsidRDefault="000E48DB" w:rsidP="000E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4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přípravou dotazníkového formuláře (tzv. předžádosti) Vám mohou pomoci na svém území místní akční skupiny Zlínského kraje, eventuálně ve městech Zlín, Uherské Hradiště, Kroměříž a Vsetín pracovníci městských úřadů. </w:t>
            </w:r>
            <w:hyperlink r:id="rId9" w:history="1">
              <w:r w:rsidRPr="000E48DB">
                <w:rPr>
                  <w:rFonts w:ascii="Times New Roman" w:eastAsia="Times New Roman" w:hAnsi="Times New Roman" w:cs="Times New Roman"/>
                  <w:b/>
                  <w:bCs/>
                  <w:color w:val="20558D"/>
                  <w:sz w:val="24"/>
                  <w:szCs w:val="24"/>
                  <w:lang w:eastAsia="cs-CZ"/>
                </w:rPr>
                <w:t>Mapu a kontakty na místní akční skupiny a okresní města naleznete ZDE</w:t>
              </w:r>
            </w:hyperlink>
            <w:r w:rsidRPr="000E4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4F861B33" w14:textId="77777777" w:rsidR="000E48DB" w:rsidRPr="000E48DB" w:rsidRDefault="000E48DB" w:rsidP="000E48DB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Vlastník nebo spoluvlastník nemovitosti, tedy rodinného nebo bytového domu, bytové jednotky nebo trvale obývaného rekreačního objektu, který v nemovitosti také bydlí a vytápí starým </w:t>
      </w: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u w:val="single"/>
          <w:lang w:eastAsia="cs-CZ"/>
        </w:rPr>
        <w:t>kotlem na tuhá paliva s ručním přikládáním 1. nebo 2. emisní třídy</w:t>
      </w: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 má možnost požádat o dotaci na výměnu neekologického kotle za kotel plynový kondenzační, tepelné čerpadlo nebo kotel na biomasu. Předložení dotazníkového formuláře (tzv. předžádosti) Vás bonifikuje při předložení žádosti o poskytnutí dotace. Žádost se bude spolu s přílohami podávat v prvním čtvrtletí 2022.</w:t>
      </w:r>
    </w:p>
    <w:p w14:paraId="66CE4E43" w14:textId="77777777" w:rsidR="000E48DB" w:rsidRPr="000E48DB" w:rsidRDefault="000E48DB" w:rsidP="000E48DB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lastRenderedPageBreak/>
        <w:t>Průměrný čistý příjem na osobu žijící v domácnosti žadatele nesmí překročit v roce 2020 částku 170.900,- Kč. Výměnu zdroje tepla žadatel chystá anebo byla uskutečněna po 1. 1. 2021. Dotace je 95 % ze způsobilých výdajů do maximální výše dotace dle typu vyměňovaného kotle:</w:t>
      </w:r>
    </w:p>
    <w:p w14:paraId="139D5F45" w14:textId="77777777" w:rsidR="000E48DB" w:rsidRPr="000E48DB" w:rsidRDefault="000E48DB" w:rsidP="000E4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kotel na biomasu AUTOMATICKÝ i RUČNÍ max. 130.000,- Kč,</w:t>
      </w:r>
    </w:p>
    <w:p w14:paraId="175CA85F" w14:textId="77777777" w:rsidR="000E48DB" w:rsidRPr="000E48DB" w:rsidRDefault="000E48DB" w:rsidP="000E4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tepelné čerpadlo max. 130.000,- Kč, </w:t>
      </w:r>
    </w:p>
    <w:p w14:paraId="58B3F0DE" w14:textId="77777777" w:rsidR="000E48DB" w:rsidRPr="000E48DB" w:rsidRDefault="000E48DB" w:rsidP="000E4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plynový kondenzační kotel max. 100.000,- Kč.</w:t>
      </w:r>
    </w:p>
    <w:p w14:paraId="0A2C62DF" w14:textId="67736942" w:rsidR="000E48DB" w:rsidRPr="000E48DB" w:rsidRDefault="000E48DB" w:rsidP="000E48DB">
      <w:pPr>
        <w:shd w:val="clear" w:color="auto" w:fill="FFFFFF"/>
        <w:spacing w:before="150" w:after="300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V případě, že potřebujete poradit s novým typem zdroje vytápění, obraťte se na Energetickou agenturu Zlínského kraje o.p.s., kontaktní e-mail: info@eazk.cz, telefon: 577 043 940. Pracovníci energetické agentury vám poskytnou bezplatné poradenství.</w:t>
      </w:r>
    </w:p>
    <w:p w14:paraId="63D9BFE7" w14:textId="77777777" w:rsidR="000E48DB" w:rsidRPr="000E48DB" w:rsidRDefault="000E48DB" w:rsidP="000E48DB">
      <w:pPr>
        <w:shd w:val="clear" w:color="auto" w:fill="FFFFFF"/>
        <w:spacing w:before="150" w:line="240" w:lineRule="auto"/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</w:pPr>
      <w:r w:rsidRPr="000E48DB"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V dotazníkovém formuláři (tzv. předžádosti) výše</w:t>
      </w: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 žadatel o kotlíkovou dotaci vyplní základní údaje. Pro výpočet příjmů domácnosti Vám poslouží </w:t>
      </w:r>
      <w:r w:rsidRPr="000E48DB"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kalkulačka výpočtu příjmu domácnosti</w:t>
      </w: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, dále naleznete v přiloženém dokumentu </w:t>
      </w:r>
      <w:r w:rsidRPr="000E48DB">
        <w:rPr>
          <w:rFonts w:ascii="Source Sans Pro" w:eastAsia="Times New Roman" w:hAnsi="Source Sans Pro" w:cs="Times New Roman"/>
          <w:b/>
          <w:bCs/>
          <w:color w:val="3B4047"/>
          <w:sz w:val="21"/>
          <w:szCs w:val="21"/>
          <w:lang w:eastAsia="cs-CZ"/>
        </w:rPr>
        <w:t>„Informace ke kotlíkových dotacím 2021+“</w:t>
      </w:r>
      <w:r w:rsidRPr="000E48DB">
        <w:rPr>
          <w:rFonts w:ascii="Source Sans Pro" w:eastAsia="Times New Roman" w:hAnsi="Source Sans Pro" w:cs="Times New Roman"/>
          <w:color w:val="3B4047"/>
          <w:sz w:val="21"/>
          <w:szCs w:val="21"/>
          <w:lang w:eastAsia="cs-CZ"/>
        </w:rPr>
        <w:t> základní informace a otázky a odpovědi. </w:t>
      </w:r>
    </w:p>
    <w:p w14:paraId="33A3F848" w14:textId="77777777" w:rsidR="000E48DB" w:rsidRPr="000E48DB" w:rsidRDefault="000E48DB" w:rsidP="000E48DB">
      <w:pPr>
        <w:shd w:val="clear" w:color="auto" w:fill="FFFFFF"/>
        <w:spacing w:before="360" w:after="168" w:line="240" w:lineRule="auto"/>
        <w:outlineLvl w:val="1"/>
        <w:rPr>
          <w:rFonts w:ascii="Arial" w:eastAsia="Times New Roman" w:hAnsi="Arial" w:cs="Arial"/>
          <w:color w:val="20558D"/>
          <w:sz w:val="36"/>
          <w:szCs w:val="36"/>
          <w:lang w:eastAsia="cs-CZ"/>
        </w:rPr>
      </w:pPr>
      <w:r w:rsidRPr="000E48DB">
        <w:rPr>
          <w:rFonts w:ascii="Arial" w:eastAsia="Times New Roman" w:hAnsi="Arial" w:cs="Arial"/>
          <w:color w:val="20558D"/>
          <w:sz w:val="36"/>
          <w:szCs w:val="36"/>
          <w:lang w:eastAsia="cs-CZ"/>
        </w:rPr>
        <w:t>Nové kotlíkové dotace 2021+</w:t>
      </w:r>
    </w:p>
    <w:p w14:paraId="75ED24AC" w14:textId="3329BFF3" w:rsidR="00FB2ADE" w:rsidRDefault="00D17BB5">
      <w:r>
        <w:t>Viz. příloha</w:t>
      </w:r>
    </w:p>
    <w:p w14:paraId="63B5A4A4" w14:textId="3EBBD446" w:rsidR="00D17BB5" w:rsidRDefault="00D17BB5">
      <w:r>
        <w:t>Kalkulačka k výpočtu průměrného čistého příjmu je zveřejněna na www.kr-zlinsky.cz.</w:t>
      </w:r>
    </w:p>
    <w:sectPr w:rsidR="00D1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5A57"/>
    <w:multiLevelType w:val="multilevel"/>
    <w:tmpl w:val="081A0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DB"/>
    <w:rsid w:val="000E48DB"/>
    <w:rsid w:val="00A0034A"/>
    <w:rsid w:val="00D17BB5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41B"/>
  <w15:chartTrackingRefBased/>
  <w15:docId w15:val="{8E1F82CC-BE45-4673-BBD9-6FD0AB35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4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4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8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48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E48D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E48D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E48D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E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taznik.kr-zlinsky.cz/index.php/538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zlinsky.cz/kotlik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tliky@kr-zlins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-zlinsky.cz/pomoc-s-pripravou-predzadosti-mistnimi-akcnimi-skupinami-zlinskeho-kraje-cl-5327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2021-10-11T11:22:00Z</dcterms:created>
  <dcterms:modified xsi:type="dcterms:W3CDTF">2021-10-11T11:35:00Z</dcterms:modified>
</cp:coreProperties>
</file>